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Depression</w:t>
      </w:r>
      <w:r>
        <w:t xml:space="preserve"> </w:t>
      </w:r>
      <w:r>
        <w:t xml:space="preserve">—</w:t>
      </w:r>
      <w:r>
        <w:t xml:space="preserve"> </w:t>
      </w:r>
      <w:r>
        <w:t xml:space="preserve">What</w:t>
      </w:r>
      <w:r>
        <w:t xml:space="preserve"> </w:t>
      </w:r>
      <w:r>
        <w:t xml:space="preserve">Actually</w:t>
      </w:r>
      <w:r>
        <w:t xml:space="preserve"> </w:t>
      </w:r>
      <w:r>
        <w:t xml:space="preserve">Causes</w:t>
      </w:r>
      <w:r>
        <w:t xml:space="preserve"> </w:t>
      </w:r>
      <w:r>
        <w:t xml:space="preserve">It?</w:t>
      </w:r>
    </w:p>
    <w:p>
      <w:pPr>
        <w:pStyle w:val="Subtitle"/>
      </w:pPr>
      <w:r>
        <w:t xml:space="preserve">A</w:t>
      </w:r>
      <w:r>
        <w:t xml:space="preserve"> </w:t>
      </w:r>
      <w:r>
        <w:t xml:space="preserve">Comprehensive</w:t>
      </w:r>
      <w:r>
        <w:t xml:space="preserve"> </w:t>
      </w:r>
      <w:r>
        <w:t xml:space="preserve">Evidence</w:t>
      </w:r>
      <w:r>
        <w:t xml:space="preserve"> </w:t>
      </w:r>
      <w:r>
        <w:t xml:space="preserve">Synthesis</w:t>
      </w:r>
      <w:r>
        <w:t xml:space="preserve"> </w:t>
      </w:r>
      <w:r>
        <w:t xml:space="preserve">(Foundation</w:t>
      </w:r>
      <w:r>
        <w:t xml:space="preserve"> </w:t>
      </w:r>
      <w:r>
        <w:t xml:space="preserve">v2.0)</w:t>
      </w:r>
    </w:p>
    <w:p>
      <w:pPr>
        <w:pStyle w:val="Author"/>
      </w:pPr>
      <w:r>
        <w:t xml:space="preserve">Objektiv</w:t>
      </w:r>
      <w:r>
        <w:t xml:space="preserve"> </w:t>
      </w:r>
      <w:r>
        <w:t xml:space="preserve">AI</w:t>
      </w:r>
      <w:r>
        <w:t xml:space="preserve"> </w:t>
      </w:r>
      <w:r>
        <w:t xml:space="preserve">·</w:t>
      </w:r>
      <w:r>
        <w:t xml:space="preserve"> </w:t>
      </w:r>
      <w:r>
        <w:t xml:space="preserve">Claude</w:t>
      </w:r>
      <w:r>
        <w:t xml:space="preserve"> </w:t>
      </w:r>
      <w:r>
        <w:t xml:space="preserve">(Anthropic)</w:t>
      </w:r>
      <w:r>
        <w:t xml:space="preserve"> </w:t>
      </w:r>
      <w:r>
        <w:t xml:space="preserve">—</w:t>
      </w:r>
      <w:r>
        <w:t xml:space="preserve"> </w:t>
      </w:r>
      <w:r>
        <w:t xml:space="preserve">machine-generated</w:t>
      </w:r>
      <w:r>
        <w:t xml:space="preserve"> </w:t>
      </w:r>
      <w:r>
        <w:t xml:space="preserve">from</w:t>
      </w:r>
      <w:r>
        <w:t xml:space="preserve"> </w:t>
      </w:r>
      <w:r>
        <w:t xml:space="preserve">open,</w:t>
      </w:r>
      <w:r>
        <w:t xml:space="preserve"> </w:t>
      </w:r>
      <w:r>
        <w:t xml:space="preserve">peer-reviewed</w:t>
      </w:r>
      <w:r>
        <w:t xml:space="preserve"> </w:t>
      </w:r>
      <w:r>
        <w:t xml:space="preserve">sources.</w:t>
      </w:r>
      <w:r>
        <w:t xml:space="preserve"> </w:t>
      </w:r>
      <w:r>
        <w:t xml:space="preserve">Not</w:t>
      </w:r>
      <w:r>
        <w:t xml:space="preserve"> </w:t>
      </w:r>
      <w:r>
        <w:t xml:space="preserve">medical</w:t>
      </w:r>
      <w:r>
        <w:t xml:space="preserve"> </w:t>
      </w:r>
      <w:r>
        <w:t xml:space="preserve">advice.</w:t>
      </w:r>
    </w:p>
    <w:p>
      <w:pPr>
        <w:pStyle w:val="Date"/>
      </w:pPr>
      <w:r>
        <w:t xml:space="preserve">2026-06-13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executive-summary"/>
      <w:r>
        <w:t xml:space="preserve">1. Executive summary</w:t>
      </w:r>
      <w:bookmarkEnd w:id="20"/>
    </w:p>
    <w:p>
      <w:pPr>
        <w:pStyle w:val="FirstParagraph"/>
      </w:pPr>
      <w:r>
        <w:t xml:space="preserve">Depression is the leading cause of disability worldwide — roughly</w:t>
      </w:r>
      <w:r>
        <w:t xml:space="preserve"> </w:t>
      </w:r>
      <w:r>
        <w:rPr>
          <w:b/>
        </w:rPr>
        <w:t xml:space="preserve">332 million people</w:t>
      </w:r>
      <w:r>
        <w:t xml:space="preserve"> </w:t>
      </w:r>
      <w:r>
        <w:t xml:space="preserve">as of the Global Burden of Disease 2021 estimates — and its burden is still rising. Yet the explanation most people carry, that depression is simply a</w:t>
      </w:r>
      <w:r>
        <w:t xml:space="preserve"> </w:t>
      </w:r>
      <w:r>
        <w:rPr>
          <w:b/>
        </w:rPr>
        <w:t xml:space="preserve">serotonin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chemical imbalance,</w:t>
      </w:r>
      <w:r>
        <w:rPr>
          <w:b/>
        </w:rPr>
        <w:t xml:space="preserve">”</w:t>
      </w:r>
      <w:r>
        <w:t xml:space="preserve"> </w:t>
      </w:r>
      <w:r>
        <w:t xml:space="preserve">has collapsed under the weight of its own evidence. After six parallel deep-research reviews of the current literature (biological, environmental, dietary/gut, lifestyle, psychosocial, and treatment), one conclusion is unavoidable:</w:t>
      </w:r>
      <w:r>
        <w:t xml:space="preserve"> </w:t>
      </w:r>
      <w:r>
        <w:rPr>
          <w:b/>
        </w:rPr>
        <w:t xml:space="preserve">depression has no single cause.</w:t>
      </w:r>
      <w:r>
        <w:t xml:space="preserve"> </w:t>
      </w:r>
      <w:r>
        <w:t xml:space="preserve">It is the common end-point of many interacting pathways.</w:t>
      </w:r>
    </w:p>
    <w:p>
      <w:pPr>
        <w:pStyle w:val="BodyText"/>
      </w:pPr>
      <w:r>
        <w:t xml:space="preserve">What we</w:t>
      </w:r>
      <w:r>
        <w:t xml:space="preserve"> </w:t>
      </w:r>
      <w:r>
        <w:rPr>
          <w:i/>
        </w:rPr>
        <w:t xml:space="preserve">can</w:t>
      </w:r>
      <w:r>
        <w:t xml:space="preserve"> </w:t>
      </w:r>
      <w:r>
        <w:t xml:space="preserve">piece together is more useful than a single villain. The strongest causes cluster into a small number of categories, and — crucially — many of them appear to</w:t>
      </w:r>
      <w:r>
        <w:t xml:space="preserve"> </w:t>
      </w:r>
      <w:r>
        <w:rPr>
          <w:b/>
        </w:rPr>
        <w:t xml:space="preserve">converge on the same downstream biology</w:t>
      </w:r>
      <w:r>
        <w:t xml:space="preserve">: chronic, low-grade</w:t>
      </w:r>
      <w:r>
        <w:t xml:space="preserve"> </w:t>
      </w:r>
      <w:r>
        <w:rPr>
          <w:b/>
        </w:rPr>
        <w:t xml:space="preserve">neuroinflammation</w:t>
      </w:r>
      <w:r>
        <w:t xml:space="preserve">, a dysregulated</w:t>
      </w:r>
      <w:r>
        <w:t xml:space="preserve"> </w:t>
      </w:r>
      <w:r>
        <w:rPr>
          <w:b/>
        </w:rPr>
        <w:t xml:space="preserve">stress-hormone (HPA) axis</w:t>
      </w:r>
      <w:r>
        <w:t xml:space="preserve">, and</w:t>
      </w:r>
      <w:r>
        <w:t xml:space="preserve"> </w:t>
      </w:r>
      <w:r>
        <w:rPr>
          <w:b/>
        </w:rPr>
        <w:t xml:space="preserve">oxidative stress</w:t>
      </w:r>
      <w:r>
        <w:t xml:space="preserve">, which together degrade neuroplasticity and mood regulation. This</w:t>
      </w:r>
      <w:r>
        <w:t xml:space="preserve"> </w:t>
      </w:r>
      <w:r>
        <w:t xml:space="preserve">“</w:t>
      </w:r>
      <w:r>
        <w:t xml:space="preserve">convergence funnel</w:t>
      </w:r>
      <w:r>
        <w:t xml:space="preserve">”</w:t>
      </w:r>
      <w:r>
        <w:t xml:space="preserve"> </w:t>
      </w:r>
      <w:r>
        <w:t xml:space="preserve">is the organising hypothesis of this document. It is testable, it explains why so many different exposures each show a small effect, and it tells us both what to</w:t>
      </w:r>
      <w:r>
        <w:t xml:space="preserve"> </w:t>
      </w:r>
      <w:r>
        <w:rPr>
          <w:b/>
        </w:rPr>
        <w:t xml:space="preserve">measure</w:t>
      </w:r>
      <w:r>
        <w:t xml:space="preserve"> </w:t>
      </w:r>
      <w:r>
        <w:t xml:space="preserve">(inflammatory and stress biomarkers) and what to</w:t>
      </w:r>
      <w:r>
        <w:t xml:space="preserve"> </w:t>
      </w:r>
      <w:r>
        <w:rPr>
          <w:b/>
        </w:rPr>
        <w:t xml:space="preserve">target</w:t>
      </w:r>
      <w:r>
        <w:t xml:space="preserve"> </w:t>
      </w:r>
      <w:r>
        <w:t xml:space="preserve">(the funnel, not just each input).</w:t>
      </w:r>
    </w:p>
    <w:p>
      <w:pPr>
        <w:pStyle w:val="BodyText"/>
      </w:pPr>
      <w:r>
        <w:t xml:space="preserve">Three headline takeaways: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The heavyweight causes are developmental and social.</w:t>
      </w:r>
      <w:r>
        <w:t xml:space="preserve"> </w:t>
      </w:r>
      <w:r>
        <w:t xml:space="preserve">Childhood adversity/trauma and loneliness are among the most strongly evidenced — and most modifiable — population-level drivers. They should not be eclipsed by the (real but generally smaller) chemical exposures.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 short list of factors has genuine</w:t>
      </w:r>
      <w:r>
        <w:rPr>
          <w:b/>
        </w:rPr>
        <w:t xml:space="preserve"> </w:t>
      </w:r>
      <w:r>
        <w:rPr>
          <w:i/>
          <w:b/>
        </w:rPr>
        <w:t xml:space="preserve">causal</w:t>
      </w:r>
      <w:r>
        <w:rPr>
          <w:b/>
        </w:rPr>
        <w:t xml:space="preserve"> </w:t>
      </w:r>
      <w:r>
        <w:rPr>
          <w:b/>
        </w:rPr>
        <w:t xml:space="preserve">support</w:t>
      </w:r>
      <w:r>
        <w:t xml:space="preserve"> </w:t>
      </w:r>
      <w:r>
        <w:t xml:space="preserve">(from genetics and trials), not just correlation: childhood adversity, loneliness, smoking, physical inactivity, insomnia, inflammation (IL-6), and metabolic dysfunction. These are where prevention and treatment have the most leverage.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Many popular beliefs are wrong or overstated</w:t>
      </w:r>
      <w:r>
        <w:t xml:space="preserve"> </w:t>
      </w:r>
      <w:r>
        <w:t xml:space="preserve">— including the</w:t>
      </w:r>
      <w:r>
        <w:t xml:space="preserve"> </w:t>
      </w:r>
      <w:r>
        <w:t xml:space="preserve">“</w:t>
      </w:r>
      <w:r>
        <w:t xml:space="preserve">pristine community has no depression</w:t>
      </w:r>
      <w:r>
        <w:t xml:space="preserve">”</w:t>
      </w:r>
      <w:r>
        <w:t xml:space="preserve"> </w:t>
      </w:r>
      <w:r>
        <w:t xml:space="preserve">myth, the idea that psilocybin</w:t>
      </w:r>
      <w:r>
        <w:t xml:space="preserve"> </w:t>
      </w:r>
      <w:r>
        <w:t xml:space="preserve">“</w:t>
      </w:r>
      <w:r>
        <w:t xml:space="preserve">detoxes</w:t>
      </w:r>
      <w:r>
        <w:t xml:space="preserve">”</w:t>
      </w:r>
      <w:r>
        <w:t xml:space="preserve"> </w:t>
      </w:r>
      <w:r>
        <w:t xml:space="preserve">the brain, that taurine is harmful, and that</w:t>
      </w:r>
      <w:r>
        <w:t xml:space="preserve"> </w:t>
      </w:r>
      <w:r>
        <w:t xml:space="preserve">“</w:t>
      </w:r>
      <w:r>
        <w:t xml:space="preserve">detox</w:t>
      </w:r>
      <w:r>
        <w:t xml:space="preserve">”</w:t>
      </w:r>
      <w:r>
        <w:t xml:space="preserve"> </w:t>
      </w:r>
      <w:r>
        <w:t xml:space="preserve">cleanses cure anything. Correcting these sharpens the project rather than weakening it.</w:t>
      </w:r>
    </w:p>
    <w:p>
      <w:pPr>
        <w:pStyle w:val="Heading1"/>
      </w:pPr>
      <w:bookmarkStart w:id="21" w:name="how-to-read-this-synthesis"/>
      <w:r>
        <w:t xml:space="preserve">2. How to read this synthesis</w:t>
      </w:r>
      <w:bookmarkEnd w:id="21"/>
    </w:p>
    <w:p>
      <w:pPr>
        <w:pStyle w:val="FirstParagraph"/>
      </w:pPr>
      <w:r>
        <w:t xml:space="preserve">This report keeps every theory open but follows the evidence, and it deliberately separates</w:t>
      </w:r>
      <w:r>
        <w:t xml:space="preserve"> </w:t>
      </w:r>
      <w:r>
        <w:rPr>
          <w:b/>
        </w:rPr>
        <w:t xml:space="preserve">association</w:t>
      </w:r>
      <w:r>
        <w:t xml:space="preserve"> </w:t>
      </w:r>
      <w:r>
        <w:t xml:space="preserve">(a statistical link, easily confounded) from</w:t>
      </w:r>
      <w:r>
        <w:t xml:space="preserve"> </w:t>
      </w:r>
      <w:r>
        <w:rPr>
          <w:b/>
        </w:rPr>
        <w:t xml:space="preserve">causation</w:t>
      </w:r>
      <w:r>
        <w:t xml:space="preserve"> </w:t>
      </w:r>
      <w:r>
        <w:t xml:space="preserve">(supported by genetics or trials). Throughout, each factor carries an explicit</w:t>
      </w:r>
      <w:r>
        <w:t xml:space="preserve"> </w:t>
      </w:r>
      <w:r>
        <w:rPr>
          <w:b/>
        </w:rPr>
        <w:t xml:space="preserve">evidence grade</w:t>
      </w:r>
      <w:r>
        <w:t xml:space="preserve">: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Grade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Meaning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Causal (strong)</w:t>
            </w:r>
          </w:p>
        </w:tc>
        <w:tc>
          <w:p>
            <w:pPr>
              <w:pStyle w:val="Compact"/>
              <w:jc w:val="left"/>
            </w:pPr>
            <w:r>
              <w:t xml:space="preserve">Supported by Mendelian randomization (genetic natural experiments) and/or randomized trials.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Robust</w:t>
            </w:r>
          </w:p>
        </w:tc>
        <w:tc>
          <w:p>
            <w:pPr>
              <w:pStyle w:val="Compact"/>
              <w:jc w:val="left"/>
            </w:pPr>
            <w:r>
              <w:t xml:space="preserve">Consistent large prospective cohorts/meta-analyses; causation likely but not nailed.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Moderate</w:t>
            </w:r>
          </w:p>
        </w:tc>
        <w:tc>
          <w:p>
            <w:pPr>
              <w:pStyle w:val="Compact"/>
              <w:jc w:val="left"/>
            </w:pPr>
            <w:r>
              <w:t xml:space="preserve">Real association across studies; substantial confounding remains.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Emerging</w:t>
            </w:r>
          </w:p>
        </w:tc>
        <w:tc>
          <w:p>
            <w:pPr>
              <w:pStyle w:val="Compact"/>
              <w:jc w:val="left"/>
            </w:pPr>
            <w:r>
              <w:t xml:space="preserve">New or mechanistic signal; human causal evidence immature.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Contested</w:t>
            </w:r>
          </w:p>
        </w:tc>
        <w:tc>
          <w:p>
            <w:pPr>
              <w:pStyle w:val="Compact"/>
              <w:jc w:val="left"/>
            </w:pPr>
            <w:r>
              <w:t xml:space="preserve">Evidence mixed, weak, or actively disputed.</w:t>
            </w:r>
          </w:p>
        </w:tc>
      </w:tr>
    </w:tbl>
    <w:p>
      <w:pPr>
        <w:pStyle w:val="BodyText"/>
      </w:pPr>
      <w:r>
        <w:t xml:space="preserve">A companion machine-readable file (</w:t>
      </w:r>
      <w:r>
        <w:rPr>
          <w:rStyle w:val="VerbatimChar"/>
        </w:rPr>
        <w:t xml:space="preserve">data/exposure_evidence_matrix.csv</w:t>
      </w:r>
      <w:r>
        <w:t xml:space="preserve">, 40 factors) and a master source register (</w:t>
      </w:r>
      <w:r>
        <w:rPr>
          <w:rStyle w:val="VerbatimChar"/>
        </w:rPr>
        <w:t xml:space="preserve">data/master_sources.csv</w:t>
      </w:r>
      <w:r>
        <w:t xml:space="preserve">, 52 sources) accompany this report and power the public website’s interactive table.</w:t>
      </w:r>
    </w:p>
    <w:p>
      <w:pPr>
        <w:pStyle w:val="Heading1"/>
      </w:pPr>
      <w:bookmarkStart w:id="22" w:name="Xe59e201449c00b990b94352a625a4cecd399bfa"/>
      <w:r>
        <w:t xml:space="preserve">3. The reframe: from</w:t>
      </w:r>
      <w:r>
        <w:t xml:space="preserve"> </w:t>
      </w:r>
      <w:r>
        <w:t xml:space="preserve">“</w:t>
      </w:r>
      <w:r>
        <w:t xml:space="preserve">chemical imbalance</w:t>
      </w:r>
      <w:r>
        <w:t xml:space="preserve">”</w:t>
      </w:r>
      <w:r>
        <w:t xml:space="preserve"> </w:t>
      </w:r>
      <w:r>
        <w:t xml:space="preserve">to a system</w:t>
      </w:r>
      <w:bookmarkEnd w:id="22"/>
    </w:p>
    <w:p>
      <w:pPr>
        <w:pStyle w:val="FirstParagraph"/>
      </w:pPr>
      <w:r>
        <w:t xml:space="preserve">In 2022 a widely-read umbrella review (Moncrieff et al.,</w:t>
      </w:r>
      <w:r>
        <w:t xml:space="preserve"> </w:t>
      </w:r>
      <w:r>
        <w:rPr>
          <w:i/>
        </w:rPr>
        <w:t xml:space="preserve">Molecular Psychiatry</w:t>
      </w:r>
      <w:r>
        <w:t xml:space="preserve">) found</w:t>
      </w:r>
      <w:r>
        <w:t xml:space="preserve"> </w:t>
      </w:r>
      <w:r>
        <w:rPr>
          <w:b/>
        </w:rPr>
        <w:t xml:space="preserve">no consistent evidence</w:t>
      </w:r>
      <w:r>
        <w:t xml:space="preserve"> </w:t>
      </w:r>
      <w:r>
        <w:t xml:space="preserve">that depression is caused by low serotonin. A 36-author rebuttal countered that serious researchers never held the simplistic version, and that serotonin still matters to how some drugs act — but both sides agree the</w:t>
      </w:r>
      <w:r>
        <w:t xml:space="preserve"> </w:t>
      </w:r>
      <w:r>
        <w:t xml:space="preserve">“</w:t>
      </w:r>
      <w:r>
        <w:t xml:space="preserve">low serotonin = depression</w:t>
      </w:r>
      <w:r>
        <w:t xml:space="preserve">”</w:t>
      </w:r>
      <w:r>
        <w:t xml:space="preserve"> </w:t>
      </w:r>
      <w:r>
        <w:t xml:space="preserve">story is not supported. Antidepressants (SSRIs) do help many people with moderate-to-severe depression (network meta-analysis of 522 trials, Cipriani 2018), but they likely work through</w:t>
      </w:r>
      <w:r>
        <w:t xml:space="preserve"> </w:t>
      </w:r>
      <w:r>
        <w:rPr>
          <w:b/>
        </w:rPr>
        <w:t xml:space="preserve">neuroplasticity and anti-inflammatory</w:t>
      </w:r>
      <w:r>
        <w:t xml:space="preserve"> </w:t>
      </w:r>
      <w:r>
        <w:t xml:space="preserve">effects, not by correcting a deficiency.</w:t>
      </w:r>
    </w:p>
    <w:p>
      <w:pPr>
        <w:pStyle w:val="BodyText"/>
      </w:pPr>
      <w:r>
        <w:t xml:space="preserve">What replaced the imbalance model is the</w:t>
      </w:r>
      <w:r>
        <w:t xml:space="preserve"> </w:t>
      </w:r>
      <w:r>
        <w:rPr>
          <w:b/>
        </w:rPr>
        <w:t xml:space="preserve">biopsychosocial</w:t>
      </w:r>
      <w:r>
        <w:t xml:space="preserve"> </w:t>
      </w:r>
      <w:r>
        <w:t xml:space="preserve">consensus: biological, psychological and social factors continuously interact, and</w:t>
      </w:r>
      <w:r>
        <w:t xml:space="preserve"> </w:t>
      </w:r>
      <w:r>
        <w:rPr>
          <w:b/>
        </w:rPr>
        <w:t xml:space="preserve">no single factor explains a large share of risk.</w:t>
      </w:r>
      <w:r>
        <w:t xml:space="preserve"> </w:t>
      </w:r>
      <w:r>
        <w:t xml:space="preserve">The productive question is therefore not</w:t>
      </w:r>
      <w:r>
        <w:t xml:space="preserve"> </w:t>
      </w:r>
      <w:r>
        <w:t xml:space="preserve">“</w:t>
      </w:r>
      <w:r>
        <w:t xml:space="preserve">what is</w:t>
      </w:r>
      <w:r>
        <w:t xml:space="preserve"> </w:t>
      </w:r>
      <w:r>
        <w:rPr>
          <w:i/>
        </w:rPr>
        <w:t xml:space="preserve">the</w:t>
      </w:r>
      <w:r>
        <w:t xml:space="preserve"> </w:t>
      </w:r>
      <w:r>
        <w:t xml:space="preserve">cause?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how do the causes interact, and where do they converge?</w:t>
      </w:r>
      <w:r>
        <w:rPr>
          <w:b/>
        </w:rPr>
        <w:t xml:space="preserve">”</w:t>
      </w:r>
    </w:p>
    <w:p>
      <w:pPr>
        <w:pStyle w:val="Heading1"/>
      </w:pPr>
      <w:bookmarkStart w:id="23" w:name="the-convergence-model-the-pattern"/>
      <w:r>
        <w:t xml:space="preserve">4. The convergence model — the pattern</w:t>
      </w:r>
      <w:bookmarkEnd w:id="23"/>
    </w:p>
    <w:p>
      <w:pPr>
        <w:pStyle w:val="FirstParagraph"/>
      </w:pPr>
      <w:r>
        <w:t xml:space="preserve">If there is a unifying pattern, the strongest candidate is the body’s</w:t>
      </w:r>
      <w:r>
        <w:t xml:space="preserve"> </w:t>
      </w:r>
      <w:r>
        <w:rPr>
          <w:b/>
        </w:rPr>
        <w:t xml:space="preserve">inflammation–stress–oxidation axis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Neuroinflammation.</w:t>
      </w:r>
      <w:r>
        <w:t xml:space="preserve"> </w:t>
      </w:r>
      <w:r>
        <w:t xml:space="preserve">Meta-analyses repeatedly find elevated</w:t>
      </w:r>
      <w:r>
        <w:t xml:space="preserve"> </w:t>
      </w:r>
      <w:r>
        <w:rPr>
          <w:b/>
        </w:rPr>
        <w:t xml:space="preserve">IL-6, CRP and TNF-α</w:t>
      </w:r>
      <w:r>
        <w:t xml:space="preserve"> </w:t>
      </w:r>
      <w:r>
        <w:t xml:space="preserve">in depression, and Mendelian randomization supports a</w:t>
      </w:r>
      <w:r>
        <w:t xml:space="preserve"> </w:t>
      </w:r>
      <w:r>
        <w:rPr>
          <w:b/>
        </w:rPr>
        <w:t xml:space="preserve">causal</w:t>
      </w:r>
      <w:r>
        <w:t xml:space="preserve"> </w:t>
      </w:r>
      <w:r>
        <w:t xml:space="preserve">role for IL-6. An estimated 30–50% of patients have an</w:t>
      </w:r>
      <w:r>
        <w:t xml:space="preserve"> </w:t>
      </w:r>
      <w:r>
        <w:t xml:space="preserve">“</w:t>
      </w:r>
      <w:r>
        <w:t xml:space="preserve">inflammatory subtype.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HPA-axis dysregulation.</w:t>
      </w:r>
      <w:r>
        <w:t xml:space="preserve"> </w:t>
      </w:r>
      <w:r>
        <w:t xml:space="preserve">Chronic stress keeps cortisol/CRH elevated, damaging the hippocampus and feeding back into inflammation.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Oxidative stress and mitochondrial dysfunction.</w:t>
      </w:r>
      <w:r>
        <w:t xml:space="preserve"> </w:t>
      </w:r>
      <w:r>
        <w:t xml:space="preserve">Several toxicants act here, releasing inflammatory signals that close the loop.</w:t>
      </w:r>
    </w:p>
    <w:p>
      <w:pPr>
        <w:pStyle w:val="FirstParagraph"/>
      </w:pPr>
      <w:r>
        <w:t xml:space="preserve">These three loops are</w:t>
      </w:r>
      <w:r>
        <w:t xml:space="preserve"> </w:t>
      </w:r>
      <w:r>
        <w:rPr>
          <w:b/>
        </w:rPr>
        <w:t xml:space="preserve">mutually reinforcing</w:t>
      </w:r>
      <w:r>
        <w:t xml:space="preserve">, and they meet at shared nodes — the</w:t>
      </w:r>
      <w:r>
        <w:t xml:space="preserve"> </w:t>
      </w:r>
      <w:r>
        <w:rPr>
          <w:b/>
        </w:rPr>
        <w:t xml:space="preserve">kynurenine pathway</w:t>
      </w:r>
      <w:r>
        <w:t xml:space="preserve"> </w:t>
      </w:r>
      <w:r>
        <w:t xml:space="preserve">(inflammation diverts tryptophan from serotonin toward neurotoxic metabolites),</w:t>
      </w:r>
      <w:r>
        <w:t xml:space="preserve"> </w:t>
      </w:r>
      <w:r>
        <w:rPr>
          <w:b/>
        </w:rPr>
        <w:t xml:space="preserve">reduced BDNF/neuroplasticity</w:t>
      </w:r>
      <w:r>
        <w:t xml:space="preserve">, and a more permeable</w:t>
      </w:r>
      <w:r>
        <w:t xml:space="preserve"> </w:t>
      </w:r>
      <w:r>
        <w:rPr>
          <w:b/>
        </w:rPr>
        <w:t xml:space="preserve">blood–brain barrier</w:t>
      </w:r>
      <w:r>
        <w:t xml:space="preserve"> </w:t>
      </w:r>
      <w:r>
        <w:t xml:space="preserve">that lets peripheral inflammation reach the brain.</w:t>
      </w:r>
    </w:p>
    <w:p>
      <w:pPr>
        <w:pStyle w:val="BodyText"/>
      </w:pPr>
      <w:r>
        <w:t xml:space="preserve">The explanatory power is that</w:t>
      </w:r>
      <w:r>
        <w:t xml:space="preserve"> </w:t>
      </w:r>
      <w:r>
        <w:rPr>
          <w:b/>
        </w:rPr>
        <w:t xml:space="preserve">most of the exposures below plausibly feed the same funnel</w:t>
      </w:r>
      <w:r>
        <w:t xml:space="preserve">: smoking raises IL-6 and delivers cadmium; ultra-processed food is pro-inflammatory and fibre-poor; air pollution, metals, mould and microplastics provoke oxidative/inflammatory responses; chronic stress, adversity and loneliness set the immune and stress thermostats high; poor sleep amplifies all of it. If correct, this is why dozens of unrelated-seeming factors each show a small association with depression — and it points to</w:t>
      </w:r>
      <w:r>
        <w:t xml:space="preserve"> </w:t>
      </w:r>
      <w:r>
        <w:rPr>
          <w:b/>
        </w:rPr>
        <w:t xml:space="preserve">reducing exposure</w:t>
      </w:r>
      <w:r>
        <w:rPr>
          <w:b/>
        </w:rPr>
        <w:t xml:space="preserve"> </w:t>
      </w:r>
      <w:r>
        <w:rPr>
          <w:i/>
          <w:b/>
        </w:rPr>
        <w:t xml:space="preserve">and</w:t>
      </w:r>
      <w:r>
        <w:rPr>
          <w:b/>
        </w:rPr>
        <w:t xml:space="preserve"> </w:t>
      </w:r>
      <w:r>
        <w:rPr>
          <w:b/>
        </w:rPr>
        <w:t xml:space="preserve">damping the funnel</w:t>
      </w:r>
      <w:r>
        <w:t xml:space="preserve"> </w:t>
      </w:r>
      <w:r>
        <w:t xml:space="preserve">(anti-inflammatory diet, sleep, exercise, stress/trauma treatment, and — in inflamed patients — targeted anti-inflammatories) as the route to prevention and healing.</w:t>
      </w:r>
    </w:p>
    <w:p>
      <w:pPr>
        <w:pStyle w:val="Heading1"/>
      </w:pPr>
      <w:bookmarkStart w:id="24" w:name="the-evidence-domain-by-domain"/>
      <w:r>
        <w:t xml:space="preserve">5. The evidence, domain by domain</w:t>
      </w:r>
      <w:bookmarkEnd w:id="24"/>
    </w:p>
    <w:p>
      <w:pPr>
        <w:pStyle w:val="Heading2"/>
      </w:pPr>
      <w:bookmarkStart w:id="25" w:name="biological-core"/>
      <w:r>
        <w:t xml:space="preserve">5.1 Biological core</w:t>
      </w:r>
      <w:bookmarkEnd w:id="25"/>
    </w:p>
    <w:p>
      <w:pPr>
        <w:pStyle w:val="FirstParagraph"/>
      </w:pPr>
      <w:r>
        <w:rPr>
          <w:b/>
        </w:rPr>
        <w:t xml:space="preserve">Neuroinflammation (Causal — strong).</w:t>
      </w:r>
      <w:r>
        <w:t xml:space="preserve"> </w:t>
      </w:r>
      <w:r>
        <w:t xml:space="preserve">The most reproducible biological signal; IL-6 has MR causal support, making it the leading hub candidate.</w:t>
      </w:r>
      <w:r>
        <w:t xml:space="preserve"> </w:t>
      </w:r>
      <w:r>
        <w:rPr>
          <w:b/>
        </w:rPr>
        <w:t xml:space="preserve">HPA-axis/chronic stress (Robust).</w:t>
      </w:r>
      <w:r>
        <w:t xml:space="preserve"> </w:t>
      </w:r>
      <w:r>
        <w:t xml:space="preserve">Elevated morning cortisol prospectively predicts depression.</w:t>
      </w:r>
      <w:r>
        <w:t xml:space="preserve"> </w:t>
      </w:r>
      <w:r>
        <w:rPr>
          <w:b/>
        </w:rPr>
        <w:t xml:space="preserve">Oxidative stress &amp; mitochondrial dysfunction (Moderate).</w:t>
      </w:r>
      <w:r>
        <w:t xml:space="preserve"> </w:t>
      </w:r>
      <w:r>
        <w:t xml:space="preserve">Plausible shared mechanism for chemical exposures.</w:t>
      </w:r>
      <w:r>
        <w:t xml:space="preserve"> </w:t>
      </w:r>
      <w:r>
        <w:rPr>
          <w:b/>
        </w:rPr>
        <w:t xml:space="preserve">Low BDNF/neuroplasticity (Robust, mediator).</w:t>
      </w:r>
      <w:r>
        <w:t xml:space="preserve"> </w:t>
      </w:r>
      <w:r>
        <w:t xml:space="preserve">Suppressed by stress and inflammation; restored by ketamine, psilocybin, exercise.</w:t>
      </w:r>
      <w:r>
        <w:t xml:space="preserve"> </w:t>
      </w:r>
      <w:r>
        <w:rPr>
          <w:b/>
        </w:rPr>
        <w:t xml:space="preserve">Kynurenine pathway (Robust).</w:t>
      </w:r>
      <w:r>
        <w:t xml:space="preserve"> </w:t>
      </w:r>
      <w:r>
        <w:t xml:space="preserve">Explains how inflammation lowers serotonin</w:t>
      </w:r>
      <w:r>
        <w:t xml:space="preserve"> </w:t>
      </w:r>
      <w:r>
        <w:rPr>
          <w:i/>
        </w:rPr>
        <w:t xml:space="preserve">without</w:t>
      </w:r>
      <w:r>
        <w:t xml:space="preserve"> </w:t>
      </w:r>
      <w:r>
        <w:t xml:space="preserve">a primary deficiency.</w:t>
      </w:r>
      <w:r>
        <w:t xml:space="preserve"> </w:t>
      </w:r>
      <w:r>
        <w:rPr>
          <w:b/>
        </w:rPr>
        <w:t xml:space="preserve">Glutamatergic dysfunction (Robust).</w:t>
      </w:r>
      <w:r>
        <w:t xml:space="preserve"> </w:t>
      </w:r>
      <w:r>
        <w:t xml:space="preserve">Target of ketamine’s rapid effect.</w:t>
      </w:r>
      <w:r>
        <w:t xml:space="preserve"> </w:t>
      </w:r>
      <w:r>
        <w:rPr>
          <w:b/>
        </w:rPr>
        <w:t xml:space="preserve">Polygenic genetic risk (Robust).</w:t>
      </w:r>
      <w:r>
        <w:t xml:space="preserve"> </w:t>
      </w:r>
      <w:r>
        <w:t xml:space="preserve">~37% twin heritability; a 2024 GWAS (n=688,808) found 697 associations — risk is highly polygenic and gene×environment dependent.</w:t>
      </w:r>
      <w:r>
        <w:t xml:space="preserve"> </w:t>
      </w:r>
      <w:r>
        <w:rPr>
          <w:b/>
        </w:rPr>
        <w:t xml:space="preserve">Serotonin deficiency (Contested).</w:t>
      </w:r>
      <w:r>
        <w:t xml:space="preserve"> </w:t>
      </w:r>
      <w:r>
        <w:t xml:space="preserve">Not supported as a primary cause.</w:t>
      </w:r>
      <w:r>
        <w:t xml:space="preserve"> </w:t>
      </w:r>
      <w:r>
        <w:rPr>
          <w:b/>
        </w:rPr>
        <w:t xml:space="preserve">Blood–brain-barrier permeability (Emerging).</w:t>
      </w:r>
      <w:r>
        <w:t xml:space="preserve"> </w:t>
      </w:r>
      <w:r>
        <w:t xml:space="preserve">A gate converting peripheral exposures into brain inflammation.</w:t>
      </w:r>
    </w:p>
    <w:p>
      <w:pPr>
        <w:pStyle w:val="Heading2"/>
      </w:pPr>
      <w:bookmarkStart w:id="26" w:name="environmental-chemical-exposome"/>
      <w:r>
        <w:t xml:space="preserve">5.2 Environmental &amp; chemical exposome</w:t>
      </w:r>
      <w:bookmarkEnd w:id="26"/>
    </w:p>
    <w:p>
      <w:pPr>
        <w:pStyle w:val="FirstParagraph"/>
      </w:pPr>
      <w:r>
        <w:rPr>
          <w:b/>
        </w:rPr>
        <w:t xml:space="preserve">Air pollution — PM2.5/NO2 (Robust).</w:t>
      </w:r>
      <w:r>
        <w:t xml:space="preserve"> </w:t>
      </w:r>
      <w:r>
        <w:t xml:space="preserve">UK Biobank (n≈389,000, ~11 years): higher exposure → incident depression with no apparent safe threshold — among the strongest environmental signals, and one not on the project’s original list.</w:t>
      </w:r>
      <w:r>
        <w:t xml:space="preserve"> </w:t>
      </w:r>
      <w:r>
        <w:rPr>
          <w:b/>
        </w:rPr>
        <w:t xml:space="preserve">Cadmium (Moderate)</w:t>
      </w:r>
      <w:r>
        <w:t xml:space="preserve"> </w:t>
      </w:r>
      <w:r>
        <w:t xml:space="preserve">— leading metal contributor in NHANES mixtures, but heavily confounded by smoking (its main source).</w:t>
      </w:r>
      <w:r>
        <w:t xml:space="preserve"> </w:t>
      </w:r>
      <w:r>
        <w:rPr>
          <w:b/>
        </w:rPr>
        <w:t xml:space="preserve">Lead (Moderate)</w:t>
      </w:r>
      <w:r>
        <w:t xml:space="preserve">, strongest as a developmental risk.</w:t>
      </w:r>
      <w:r>
        <w:t xml:space="preserve"> </w:t>
      </w:r>
      <w:r>
        <w:rPr>
          <w:b/>
        </w:rPr>
        <w:t xml:space="preserve">Mercury (Contested)</w:t>
      </w:r>
      <w:r>
        <w:t xml:space="preserve"> </w:t>
      </w:r>
      <w:r>
        <w:t xml:space="preserve">— null/inverse in NHANES, a healthy-fish-eater confounder.</w:t>
      </w:r>
      <w:r>
        <w:t xml:space="preserve"> </w:t>
      </w:r>
      <w:r>
        <w:rPr>
          <w:b/>
        </w:rPr>
        <w:t xml:space="preserve">PFAS (Contested)</w:t>
      </w:r>
      <w:r>
        <w:t xml:space="preserve"> </w:t>
      </w:r>
      <w:r>
        <w:t xml:space="preserve">— inconsistent, sometimes antagonistic in mixtures; weaker than the popular narrative.</w:t>
      </w:r>
      <w:r>
        <w:t xml:space="preserve"> </w:t>
      </w:r>
      <w:r>
        <w:rPr>
          <w:b/>
        </w:rPr>
        <w:t xml:space="preserve">Microplastics/nanoplastics (Emerging).</w:t>
      </w:r>
      <w:r>
        <w:t xml:space="preserve"> </w:t>
      </w:r>
      <w:r>
        <w:t xml:space="preserve">A 2024</w:t>
      </w:r>
      <w:r>
        <w:t xml:space="preserve"> </w:t>
      </w:r>
      <w:r>
        <w:rPr>
          <w:i/>
        </w:rPr>
        <w:t xml:space="preserve">Nature Medicine</w:t>
      </w:r>
      <w:r>
        <w:t xml:space="preserve"> </w:t>
      </w:r>
      <w:r>
        <w:t xml:space="preserve">study found microplastics bioaccumulating in human brain tissue, rising over time and higher in dementia brains; animal models show depressive-like behaviour. Human causation is unresolved (a leaky barrier in illness could let more in). This is the project’s most promising</w:t>
      </w:r>
      <w:r>
        <w:t xml:space="preserve"> </w:t>
      </w:r>
      <w:r>
        <w:rPr>
          <w:b/>
        </w:rPr>
        <w:t xml:space="preserve">novel frontier</w:t>
      </w:r>
      <w:r>
        <w:t xml:space="preserve">, best paired with ultra-processed food as the delivery vector.</w:t>
      </w:r>
      <w:r>
        <w:t xml:space="preserve"> </w:t>
      </w:r>
      <w:r>
        <w:rPr>
          <w:b/>
        </w:rPr>
        <w:t xml:space="preserve">Aluminium (Emerging)</w:t>
      </w:r>
      <w:r>
        <w:t xml:space="preserve"> </w:t>
      </w:r>
      <w:r>
        <w:t xml:space="preserve">— a real neurotoxin, but dietary sources are processed/baked goods, tea, cocoa, additives and antacids —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primarily energy drinks or cans.</w:t>
      </w:r>
      <w:r>
        <w:t xml:space="preserve"> </w:t>
      </w:r>
      <w:r>
        <w:rPr>
          <w:b/>
        </w:rPr>
        <w:t xml:space="preserve">Pesticides/organophosphates (Moderate)</w:t>
      </w:r>
      <w:r>
        <w:t xml:space="preserve"> </w:t>
      </w:r>
      <w:r>
        <w:t xml:space="preserve">— poisoning shows a strong link; chronic low-level exposure weaker.</w:t>
      </w:r>
      <w:r>
        <w:t xml:space="preserve"> </w:t>
      </w:r>
      <w:r>
        <w:rPr>
          <w:b/>
        </w:rPr>
        <w:t xml:space="preserve">Endocrine disruptors (Moderate)</w:t>
      </w:r>
      <w:r>
        <w:t xml:space="preserve"> </w:t>
      </w:r>
      <w:r>
        <w:t xml:space="preserve">and</w:t>
      </w:r>
      <w:r>
        <w:t xml:space="preserve"> </w:t>
      </w:r>
      <w:r>
        <w:rPr>
          <w:b/>
        </w:rPr>
        <w:t xml:space="preserve">mould/damp housing (Moderate)</w:t>
      </w:r>
      <w:r>
        <w:t xml:space="preserve"> </w:t>
      </w:r>
      <w:r>
        <w:t xml:space="preserve">— the latter partly psychosocial, mediated by</w:t>
      </w:r>
      <w:r>
        <w:t xml:space="preserve"> </w:t>
      </w:r>
      <w:r>
        <w:rPr>
          <w:i/>
        </w:rPr>
        <w:t xml:space="preserve">perceived control</w:t>
      </w:r>
      <w:r>
        <w:t xml:space="preserve"> </w:t>
      </w:r>
      <w:r>
        <w:t xml:space="preserve">over one’s home.</w:t>
      </w:r>
    </w:p>
    <w:p>
      <w:pPr>
        <w:pStyle w:val="Heading2"/>
      </w:pPr>
      <w:bookmarkStart w:id="27" w:name="diet-gut-metabolic"/>
      <w:r>
        <w:t xml:space="preserve">5.3 Diet, gut &amp; metabolic</w:t>
      </w:r>
      <w:bookmarkEnd w:id="27"/>
    </w:p>
    <w:p>
      <w:pPr>
        <w:pStyle w:val="FirstParagraph"/>
      </w:pPr>
      <w:r>
        <w:rPr>
          <w:b/>
        </w:rPr>
        <w:t xml:space="preserve">Gut microbiome dysbiosis (Moderate, emerging causal).</w:t>
      </w:r>
      <w:r>
        <w:t xml:space="preserve"> </w:t>
      </w:r>
      <w:r>
        <w:t xml:space="preserve">A meta-analysis of 12 randomized fecal-transplant trials (n≈681) found a large reduction in depressive symptoms, and microbiota transfer reproduces depression-like behaviour in animals — though trials are small and hard to blind.</w:t>
      </w:r>
      <w:r>
        <w:t xml:space="preserve"> </w:t>
      </w:r>
      <w:r>
        <w:rPr>
          <w:b/>
        </w:rPr>
        <w:t xml:space="preserve">Ultra-processed food (Robust).</w:t>
      </w:r>
      <w:r>
        <w:t xml:space="preserve"> </w:t>
      </w:r>
      <w:r>
        <w:t xml:space="preserve">A 2024</w:t>
      </w:r>
      <w:r>
        <w:t xml:space="preserve"> </w:t>
      </w:r>
      <w:r>
        <w:rPr>
          <w:i/>
        </w:rPr>
        <w:t xml:space="preserve">BMJ</w:t>
      </w:r>
      <w:r>
        <w:t xml:space="preserve"> </w:t>
      </w:r>
      <w:r>
        <w:t xml:space="preserve">umbrella review (~9.9 million people) and pooled cohorts link higher UPF intake to depression (HR ≈ 1.22–1.32). UPF is the best candidate for a single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vector</w:t>
      </w:r>
      <w:r>
        <w:rPr>
          <w:b/>
        </w:rPr>
        <w:t xml:space="preserve">”</w:t>
      </w:r>
      <w:r>
        <w:t xml:space="preserve"> </w:t>
      </w:r>
      <w:r>
        <w:t xml:space="preserve">bundling additives, microplastics, aluminium, low fibre, high glycaemic load and displaced omega-3.</w:t>
      </w:r>
      <w:r>
        <w:t xml:space="preserve"> </w:t>
      </w:r>
      <w:r>
        <w:rPr>
          <w:b/>
        </w:rPr>
        <w:t xml:space="preserve">Mediterranean/whole-food diet (Moderate, protective).</w:t>
      </w:r>
      <w:r>
        <w:t xml:space="preserve"> </w:t>
      </w:r>
      <w:r>
        <w:t xml:space="preserve">The SMILES RCT showed markedly higher remission; meta-analyses confirm benefit.</w:t>
      </w:r>
      <w:r>
        <w:t xml:space="preserve"> </w:t>
      </w:r>
      <w:r>
        <w:rPr>
          <w:b/>
        </w:rPr>
        <w:t xml:space="preserve">Omega-3/EPA (Robust)</w:t>
      </w:r>
      <w:r>
        <w:t xml:space="preserve"> </w:t>
      </w:r>
      <w:r>
        <w:t xml:space="preserve">treats existing (especially inflamed) depression but does</w:t>
      </w:r>
      <w:r>
        <w:t xml:space="preserve"> </w:t>
      </w:r>
      <w:r>
        <w:rPr>
          <w:b/>
        </w:rPr>
        <w:t xml:space="preserve">not</w:t>
      </w:r>
      <w:r>
        <w:t xml:space="preserve"> </w:t>
      </w:r>
      <w:r>
        <w:t xml:space="preserve">prevent it in healthy people.</w:t>
      </w:r>
      <w:r>
        <w:t xml:space="preserve"> </w:t>
      </w:r>
      <w:r>
        <w:rPr>
          <w:b/>
        </w:rPr>
        <w:t xml:space="preserve">Vitamin D (Moderate)</w:t>
      </w:r>
      <w:r>
        <w:t xml:space="preserve"> </w:t>
      </w:r>
      <w:r>
        <w:t xml:space="preserve">helps mainly when deficient.</w:t>
      </w:r>
      <w:r>
        <w:t xml:space="preserve"> </w:t>
      </w:r>
      <w:r>
        <w:rPr>
          <w:b/>
        </w:rPr>
        <w:t xml:space="preserve">Metabolic syndrome/insulin resistance/obesity (Robust)</w:t>
      </w:r>
      <w:r>
        <w:t xml:space="preserve"> </w:t>
      </w:r>
      <w:r>
        <w:t xml:space="preserve">— bidirectional MR shows depression causally raises metabolic syndrome; shared inflammatory biology runs both ways.</w:t>
      </w:r>
    </w:p>
    <w:p>
      <w:pPr>
        <w:pStyle w:val="Heading2"/>
      </w:pPr>
      <w:bookmarkStart w:id="28" w:name="lifestyle-substances-sleep"/>
      <w:r>
        <w:t xml:space="preserve">5.4 Lifestyle, substances &amp; sleep</w:t>
      </w:r>
      <w:bookmarkEnd w:id="28"/>
    </w:p>
    <w:p>
      <w:pPr>
        <w:pStyle w:val="FirstParagraph"/>
      </w:pPr>
      <w:r>
        <w:rPr>
          <w:b/>
        </w:rPr>
        <w:t xml:space="preserve">Smoking (Causal — strong).</w:t>
      </w:r>
      <w:r>
        <w:t xml:space="preserve"> </w:t>
      </w:r>
      <w:r>
        <w:t xml:space="preserve">Bidirectional Mendelian randomization; the smoking→depression effect is</w:t>
      </w:r>
      <w:r>
        <w:t xml:space="preserve"> </w:t>
      </w:r>
      <w:r>
        <w:rPr>
          <w:b/>
        </w:rPr>
        <w:t xml:space="preserve">partly mediated by IL-6</w:t>
      </w:r>
      <w:r>
        <w:t xml:space="preserve"> </w:t>
      </w:r>
      <w:r>
        <w:t xml:space="preserve">— a clean example of the inflammation funnel. (Cigarette smoke carries ≈7,000 chemicals, ~70 carcinogens.)</w:t>
      </w:r>
      <w:r>
        <w:t xml:space="preserve"> </w:t>
      </w:r>
      <w:r>
        <w:rPr>
          <w:b/>
        </w:rPr>
        <w:t xml:space="preserve">Physical inactivity / exercise (Causal — strong, protective).</w:t>
      </w:r>
      <w:r>
        <w:t xml:space="preserve"> </w:t>
      </w:r>
      <w:r>
        <w:t xml:space="preserve">MR shows objectively-measured activity protects; a 218-trial network meta-analysis found exercise’s effect</w:t>
      </w:r>
      <w:r>
        <w:t xml:space="preserve"> </w:t>
      </w:r>
      <w:r>
        <w:rPr>
          <w:b/>
        </w:rPr>
        <w:t xml:space="preserve">comparable to antidepressants.</w:t>
      </w:r>
      <w:r>
        <w:t xml:space="preserve"> </w:t>
      </w:r>
      <w:r>
        <w:rPr>
          <w:b/>
        </w:rPr>
        <w:t xml:space="preserve">Insomnia / circadian disruption (Causal — strong).</w:t>
      </w:r>
      <w:r>
        <w:t xml:space="preserve"> </w:t>
      </w:r>
      <w:r>
        <w:t xml:space="preserve">Insomnia↔depression is the best-established single sleep finding; sleep also</w:t>
      </w:r>
      <w:r>
        <w:t xml:space="preserve"> </w:t>
      </w:r>
      <w:r>
        <w:rPr>
          <w:b/>
        </w:rPr>
        <w:t xml:space="preserve">mediates</w:t>
      </w:r>
      <w:r>
        <w:t xml:space="preserve"> </w:t>
      </w:r>
      <w:r>
        <w:t xml:space="preserve">the effects of smoking, alcohol, energy drinks and screens.</w:t>
      </w:r>
      <w:r>
        <w:t xml:space="preserve"> </w:t>
      </w:r>
      <w:r>
        <w:rPr>
          <w:b/>
        </w:rPr>
        <w:t xml:space="preserve">Alcohol (Robust)</w:t>
      </w:r>
      <w:r>
        <w:t xml:space="preserve"> </w:t>
      </w:r>
      <w:r>
        <w:t xml:space="preserve">— bidirectional; the</w:t>
      </w:r>
      <w:r>
        <w:t xml:space="preserve"> </w:t>
      </w:r>
      <w:r>
        <w:t xml:space="preserve">“</w:t>
      </w:r>
      <w:r>
        <w:t xml:space="preserve">moderate drinking protects</w:t>
      </w:r>
      <w:r>
        <w:t xml:space="preserve">”</w:t>
      </w:r>
      <w:r>
        <w:t xml:space="preserve"> </w:t>
      </w:r>
      <w:r>
        <w:t xml:space="preserve">claim is sick-quitter bias.</w:t>
      </w:r>
      <w:r>
        <w:t xml:space="preserve"> </w:t>
      </w:r>
      <w:r>
        <w:rPr>
          <w:b/>
        </w:rPr>
        <w:t xml:space="preserve">Cannabis (Moderate)</w:t>
      </w:r>
      <w:r>
        <w:t xml:space="preserve"> </w:t>
      </w:r>
      <w:r>
        <w:t xml:space="preserve">— adolescent use shows a dose-dependent link to adult depression.</w:t>
      </w:r>
      <w:r>
        <w:t xml:space="preserve"> </w:t>
      </w:r>
      <w:r>
        <w:rPr>
          <w:b/>
        </w:rPr>
        <w:t xml:space="preserve">Energy drinks (Moderate)</w:t>
      </w:r>
      <w:r>
        <w:t xml:space="preserve"> </w:t>
      </w:r>
      <w:r>
        <w:t xml:space="preserve">— associated with anxiety/depression/suicidality in youth, most likely via caffeine + sugar + sleep disruption (not taurine).</w:t>
      </w:r>
      <w:r>
        <w:t xml:space="preserve"> </w:t>
      </w:r>
      <w:r>
        <w:rPr>
          <w:b/>
        </w:rPr>
        <w:t xml:space="preserve">Sedentary/TV (Moderate)</w:t>
      </w:r>
      <w:r>
        <w:t xml:space="preserve"> </w:t>
      </w:r>
      <w:r>
        <w:t xml:space="preserve">— MR implicates passive TV-watching specifically.</w:t>
      </w:r>
    </w:p>
    <w:p>
      <w:pPr>
        <w:pStyle w:val="Heading2"/>
      </w:pPr>
      <w:bookmarkStart w:id="29" w:name="psychosocial-developmental-societal"/>
      <w:r>
        <w:t xml:space="preserve">5.5 Psychosocial, developmental &amp; societal</w:t>
      </w:r>
      <w:bookmarkEnd w:id="29"/>
    </w:p>
    <w:p>
      <w:pPr>
        <w:pStyle w:val="FirstParagraph"/>
      </w:pPr>
      <w:r>
        <w:rPr>
          <w:b/>
        </w:rPr>
        <w:t xml:space="preserve">Childhood adversity/trauma (Causal — strong).</w:t>
      </w:r>
      <w:r>
        <w:t xml:space="preserve"> </w:t>
      </w:r>
      <w:r>
        <w:t xml:space="preserve">Across exposome-wide analyses, ACEs are the</w:t>
      </w:r>
      <w:r>
        <w:t xml:space="preserve"> </w:t>
      </w:r>
      <w:r>
        <w:rPr>
          <w:b/>
        </w:rPr>
        <w:t xml:space="preserve">top-ranked</w:t>
      </w:r>
      <w:r>
        <w:t xml:space="preserve"> </w:t>
      </w:r>
      <w:r>
        <w:t xml:space="preserve">exposure for mental-health outcomes (umbrella review, n≈14.7 million; clear dose-response), biologically embedded via HPA and immune programming.</w:t>
      </w:r>
      <w:r>
        <w:t xml:space="preserve"> </w:t>
      </w:r>
      <w:r>
        <w:rPr>
          <w:b/>
        </w:rPr>
        <w:t xml:space="preserve">Loneliness/social isolation (Causal — strong).</w:t>
      </w:r>
      <w:r>
        <w:t xml:space="preserve"> </w:t>
      </w:r>
      <w:r>
        <w:t xml:space="preserve">Bidirectional MR confirms loneliness and depression each cause the other.</w:t>
      </w:r>
      <w:r>
        <w:t xml:space="preserve"> </w:t>
      </w:r>
      <w:r>
        <w:rPr>
          <w:b/>
        </w:rPr>
        <w:t xml:space="preserve">Low SES/poverty/food insecurity (Robust).</w:t>
      </w:r>
      <w:r>
        <w:t xml:space="preserve"> </w:t>
      </w:r>
      <w:r>
        <w:t xml:space="preserve">Cash-transfer natural experiments show a causal poverty→depression pathway; food-insecurity effects reverse quickly on restoration.</w:t>
      </w:r>
      <w:r>
        <w:t xml:space="preserve"> </w:t>
      </w:r>
      <w:r>
        <w:rPr>
          <w:b/>
        </w:rPr>
        <w:t xml:space="preserve">Discrimination/minority stress (Robust).</w:t>
      </w:r>
      <w:r>
        <w:t xml:space="preserve"> </w:t>
      </w:r>
      <w:r>
        <w:t xml:space="preserve">The ~2× higher rate in women largely reflects exposure (violence, caregiving, inequality) and measurement, not primarily biology.</w:t>
      </w:r>
      <w:r>
        <w:t xml:space="preserve"> </w:t>
      </w:r>
      <w:r>
        <w:rPr>
          <w:b/>
        </w:rPr>
        <w:t xml:space="preserve">Work stress/job strain (Robust).</w:t>
      </w:r>
      <w:r>
        <w:t xml:space="preserve"> </w:t>
      </w:r>
      <w:r>
        <w:rPr>
          <w:b/>
        </w:rPr>
        <w:t xml:space="preserve">Urbanicity/low greenspace/poor housing (Moderate).</w:t>
      </w:r>
      <w:r>
        <w:t xml:space="preserve"> </w:t>
      </w:r>
      <w:r>
        <w:rPr>
          <w:b/>
        </w:rPr>
        <w:t xml:space="preserve">Social media in adolescents (Contested).</w:t>
      </w:r>
      <w:r>
        <w:t xml:space="preserve"> </w:t>
      </w:r>
      <w:r>
        <w:t xml:space="preserve">The science is genuinely unsettled: large meta-analyses find a small-to-moderate association (r ≈ 0.09–0.21), larger for girls and younger teens, and bidirectional — real enough to warrant attention to algorithmic/age design, but not the settled cause it is often portrayed as.</w:t>
      </w:r>
    </w:p>
    <w:p>
      <w:pPr>
        <w:pStyle w:val="Heading2"/>
      </w:pPr>
      <w:bookmarkStart w:id="30" w:name="global-epidemiology"/>
      <w:r>
        <w:t xml:space="preserve">5.6 Global epidemiology</w:t>
      </w:r>
      <w:bookmarkEnd w:id="30"/>
    </w:p>
    <w:p>
      <w:pPr>
        <w:pStyle w:val="FirstParagraph"/>
      </w:pPr>
      <w:r>
        <w:t xml:space="preserve">Depression burden is rising fastest in high-income regions (partly better detection, partly COVID-19, which added ~53 million cases in 2020 alone), while the largest absolute burdens sit in populous lower- and middle-income countries with the widest treatment gaps. Cross-country differences reflect measurement tools, stigma, and social conditions as much as</w:t>
      </w:r>
      <w:r>
        <w:t xml:space="preserve"> </w:t>
      </w:r>
      <w:r>
        <w:t xml:space="preserve">“</w:t>
      </w:r>
      <w:r>
        <w:t xml:space="preserve">true</w:t>
      </w:r>
      <w:r>
        <w:t xml:space="preserve">”</w:t>
      </w:r>
      <w:r>
        <w:t xml:space="preserve"> </w:t>
      </w:r>
      <w:r>
        <w:t xml:space="preserve">prevalence — a caution against naive between-country comparisons.</w:t>
      </w:r>
    </w:p>
    <w:p>
      <w:pPr>
        <w:pStyle w:val="Heading1"/>
      </w:pPr>
      <w:bookmarkStart w:id="31" w:name="X005d46ec50981bb08e2834e330647d87a95580a"/>
      <w:r>
        <w:t xml:space="preserve">6. What we can piece together — the integrated picture</w:t>
      </w:r>
      <w:bookmarkEnd w:id="31"/>
    </w:p>
    <w:p>
      <w:pPr>
        <w:pStyle w:val="FirstParagraph"/>
      </w:pPr>
      <w:r>
        <w:t xml:space="preserve">Sorting every factor by causal certainty yields a clear, defensible structure: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Factors (direction)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Causal core</w:t>
            </w:r>
            <w:r>
              <w:t xml:space="preserve"> </w:t>
            </w:r>
            <w:r>
              <w:t xml:space="preserve">(act here first)</w:t>
            </w:r>
          </w:p>
        </w:tc>
        <w:tc>
          <w:p>
            <w:pPr>
              <w:pStyle w:val="Compact"/>
              <w:jc w:val="left"/>
            </w:pPr>
            <w:r>
              <w:t xml:space="preserve">Childhood adversity ▲, loneliness ▲, smoking ▲, physical inactivity ▲ (exercise protects ▼), insomnia/circadian disruption ▲, neuroinflammation/IL-6 ▲, metabolic dysfunction ▲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Robust contributors</w:t>
            </w:r>
          </w:p>
        </w:tc>
        <w:tc>
          <w:p>
            <w:pPr>
              <w:pStyle w:val="Compact"/>
              <w:jc w:val="left"/>
            </w:pPr>
            <w:r>
              <w:t xml:space="preserve">Air pollution ▲, ultra-processed food ▲, alcohol ▲, low SES/food insecurity ▲, discrimination ▲, job strain ▲, HPA/chronic stress ▲, omega-3 insufficiency ▲, Mediterranean diet ▼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Moderate / context-dependent</w:t>
            </w:r>
          </w:p>
        </w:tc>
        <w:tc>
          <w:p>
            <w:pPr>
              <w:pStyle w:val="Compact"/>
              <w:jc w:val="left"/>
            </w:pPr>
            <w:r>
              <w:t xml:space="preserve">Cadmium, lead, pesticides, endocrine disruptors, mould (partly psychosocial), gut dysbiosis, vitamin D deficiency, sugar load, cannabis, sedentary/TV, urbanicity/greenspace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Emerging frontier</w:t>
            </w:r>
          </w:p>
        </w:tc>
        <w:tc>
          <w:p>
            <w:pPr>
              <w:pStyle w:val="Compact"/>
              <w:jc w:val="left"/>
            </w:pPr>
            <w:r>
              <w:t xml:space="preserve">Microplastics/nanoplastics, aluminium, blood–brain-barrier permeability,</w:t>
            </w:r>
            <w:r>
              <w:t xml:space="preserve"> </w:t>
            </w:r>
            <w:r>
              <w:t xml:space="preserve">“</w:t>
            </w:r>
            <w:r>
              <w:t xml:space="preserve">metabolic psychiatry</w:t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Contested / overstated</w:t>
            </w:r>
          </w:p>
        </w:tc>
        <w:tc>
          <w:p>
            <w:pPr>
              <w:pStyle w:val="Compact"/>
              <w:jc w:val="left"/>
            </w:pPr>
            <w:r>
              <w:t xml:space="preserve">Serotonin deficiency, PFAS, mercury-from-fish, social-media-as-primary-cause</w:t>
            </w:r>
          </w:p>
        </w:tc>
      </w:tr>
    </w:tbl>
    <w:p>
      <w:pPr>
        <w:pStyle w:val="BodyText"/>
      </w:pPr>
      <w:r>
        <w:t xml:space="preserve">The</w:t>
      </w:r>
      <w:r>
        <w:t xml:space="preserve"> </w:t>
      </w:r>
      <w:r>
        <w:rPr>
          <w:b/>
        </w:rPr>
        <w:t xml:space="preserve">pattern</w:t>
      </w:r>
      <w:r>
        <w:t xml:space="preserve"> </w:t>
      </w:r>
      <w:r>
        <w:t xml:space="preserve">is twofold. First, the causal core is dominated by</w:t>
      </w:r>
      <w:r>
        <w:t xml:space="preserve"> </w:t>
      </w:r>
      <w:r>
        <w:rPr>
          <w:b/>
        </w:rPr>
        <w:t xml:space="preserve">social/developmental</w:t>
      </w:r>
      <w:r>
        <w:t xml:space="preserve"> </w:t>
      </w:r>
      <w:r>
        <w:t xml:space="preserve">factors (adversity, loneliness, SES) and</w:t>
      </w:r>
      <w:r>
        <w:t xml:space="preserve"> </w:t>
      </w:r>
      <w:r>
        <w:rPr>
          <w:b/>
        </w:rPr>
        <w:t xml:space="preserve">modifiable lifestyle</w:t>
      </w:r>
      <w:r>
        <w:t xml:space="preserve"> </w:t>
      </w:r>
      <w:r>
        <w:t xml:space="preserve">factors (smoking, exercise, sleep) —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by chemical exposures. Second, almost everything routes through the</w:t>
      </w:r>
      <w:r>
        <w:t xml:space="preserve"> </w:t>
      </w:r>
      <w:r>
        <w:rPr>
          <w:b/>
        </w:rPr>
        <w:t xml:space="preserve">inflammation–stress–oxidation funnel</w:t>
      </w:r>
      <w:r>
        <w:t xml:space="preserve">, which is why combinations matter: the realistic future of discovery is</w:t>
      </w:r>
      <w:r>
        <w:t xml:space="preserve"> </w:t>
      </w:r>
      <w:r>
        <w:rPr>
          <w:b/>
        </w:rPr>
        <w:t xml:space="preserve">interaction-mining</w:t>
      </w:r>
      <w:r>
        <w:t xml:space="preserve"> </w:t>
      </w:r>
      <w:r>
        <w:t xml:space="preserve">(e.g., low-fibre diet × high cadmium × poor sleep × high genetic risk) across pooled datasets, not one-exposure-at-a-time studies.</w:t>
      </w:r>
    </w:p>
    <w:p>
      <w:pPr>
        <w:pStyle w:val="Heading1"/>
      </w:pPr>
      <w:bookmarkStart w:id="32" w:name="premise-corrections-consolidated"/>
      <w:r>
        <w:t xml:space="preserve">7. Premise corrections (consolidated)</w:t>
      </w:r>
      <w:bookmarkEnd w:id="32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Remote/pristine communities have no suicide or depression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— false.</w:t>
      </w:r>
      <w:r>
        <w:t xml:space="preserve"> </w:t>
      </w:r>
      <w:r>
        <w:t xml:space="preserve">Indigenous populations (e.g., Aguaruna/Awajún in Peru; First Nations in Canada; Indigenous Brazilians) often have</w:t>
      </w:r>
      <w:r>
        <w:t xml:space="preserve"> </w:t>
      </w:r>
      <w:r>
        <w:rPr>
          <w:b/>
        </w:rPr>
        <w:t xml:space="preserve">elevated</w:t>
      </w:r>
      <w:r>
        <w:t xml:space="preserve"> </w:t>
      </w:r>
      <w:r>
        <w:t xml:space="preserve">suicide tied to colonisation, cultural disruption and loss of autonomy. The protective factor is</w:t>
      </w:r>
      <w:r>
        <w:t xml:space="preserve"> </w:t>
      </w:r>
      <w:r>
        <w:rPr>
          <w:b/>
        </w:rPr>
        <w:t xml:space="preserve">cultural continuity and self-determination</w:t>
      </w:r>
      <w:r>
        <w:t xml:space="preserve"> </w:t>
      </w:r>
      <w:r>
        <w:t xml:space="preserve">— connection and agency, not the absence of chemicals.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Psilocybin does not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detox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the brain.</w:t>
      </w:r>
      <w:r>
        <w:t xml:space="preserve"> </w:t>
      </w:r>
      <w:r>
        <w:t xml:space="preserve">It is a 5-HT2A agonist that drives</w:t>
      </w:r>
      <w:r>
        <w:t xml:space="preserve"> </w:t>
      </w:r>
      <w:r>
        <w:rPr>
          <w:b/>
        </w:rPr>
        <w:t xml:space="preserve">neuroplasticity</w:t>
      </w:r>
      <w:r>
        <w:t xml:space="preserve"> </w:t>
      </w:r>
      <w:r>
        <w:t xml:space="preserve">and psychological flexibility within therapy.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Taurine is not harmful.</w:t>
      </w:r>
      <w:r>
        <w:t xml:space="preserve"> </w:t>
      </w:r>
      <w:r>
        <w:t xml:space="preserve">It is an abundant brain amino acid with antidepressant signals in animal models; in energy drinks the concerns are caffeine, sugar and sleep loss.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Aluminium’s main source is food, not energy drinks/cans.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Detox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cleanses don’t remove industrial chemicals</w:t>
      </w:r>
      <w:r>
        <w:t xml:space="preserve"> </w:t>
      </w:r>
      <w:r>
        <w:t xml:space="preserve">— though specific body-burden reduction is real (see §9).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Cigarettes contain ~7,000 chemicals (≈70 carcinogens)</w:t>
      </w:r>
      <w:r>
        <w:t xml:space="preserve"> </w:t>
      </w:r>
      <w:r>
        <w:t xml:space="preserve">— and smoking is one of the few</w:t>
      </w:r>
      <w:r>
        <w:t xml:space="preserve"> </w:t>
      </w:r>
      <w:r>
        <w:rPr>
          <w:i/>
        </w:rPr>
        <w:t xml:space="preserve">causal</w:t>
      </w:r>
      <w:r>
        <w:t xml:space="preserve"> </w:t>
      </w:r>
      <w:r>
        <w:t xml:space="preserve">exposures here.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Moderate alcohol is not protective.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Mercury-from-fish is not an established population driver.</w:t>
      </w:r>
    </w:p>
    <w:p>
      <w:pPr>
        <w:pStyle w:val="Heading1"/>
      </w:pPr>
      <w:bookmarkStart w:id="33" w:name="Xd8172205145c357e93fac3057b86e0cf287257c"/>
      <w:r>
        <w:t xml:space="preserve">8. From causes to cures — prevention &amp; treatment</w:t>
      </w:r>
      <w:bookmarkEnd w:id="33"/>
    </w:p>
    <w:p>
      <w:pPr>
        <w:pStyle w:val="FirstParagraph"/>
      </w:pPr>
      <w:r>
        <w:rPr>
          <w:b/>
        </w:rPr>
        <w:t xml:space="preserve">Evidence-based now:</w:t>
      </w:r>
      <w:r>
        <w:t xml:space="preserve"> </w:t>
      </w:r>
      <w:r>
        <w:t xml:space="preserve">SSRIs/SNRIs (moderate–severe), CBT/behavioural activation,</w:t>
      </w:r>
      <w:r>
        <w:t xml:space="preserve"> </w:t>
      </w:r>
      <w:r>
        <w:rPr>
          <w:b/>
        </w:rPr>
        <w:t xml:space="preserve">exercise</w:t>
      </w:r>
      <w:r>
        <w:t xml:space="preserve"> </w:t>
      </w:r>
      <w:r>
        <w:t xml:space="preserve">(effect comparable to antidepressants),</w:t>
      </w:r>
      <w:r>
        <w:t xml:space="preserve"> </w:t>
      </w:r>
      <w:r>
        <w:rPr>
          <w:b/>
        </w:rPr>
        <w:t xml:space="preserve">CBT-I</w:t>
      </w:r>
      <w:r>
        <w:t xml:space="preserve"> </w:t>
      </w:r>
      <w:r>
        <w:t xml:space="preserve">for insomnia (also lowers incident depression), ECT (severe/refractory), esketamine and rTMS (treatment-resistant).</w:t>
      </w:r>
      <w:r>
        <w:t xml:space="preserve"> </w:t>
      </w:r>
      <w:r>
        <w:rPr>
          <w:b/>
        </w:rPr>
        <w:t xml:space="preserve">Research-stage / promising:</w:t>
      </w:r>
      <w:r>
        <w:t xml:space="preserve"> </w:t>
      </w:r>
      <w:r>
        <w:t xml:space="preserve">psilocybin-assisted therapy (two Phase-3 trials met endpoints by 2026; not yet FDA-approved), anti-inflammatory agents</w:t>
      </w:r>
      <w:r>
        <w:t xml:space="preserve"> </w:t>
      </w:r>
      <w:r>
        <w:rPr>
          <w:b/>
        </w:rPr>
        <w:t xml:space="preserve">stratified by CRP/IL-6</w:t>
      </w:r>
      <w:r>
        <w:t xml:space="preserve"> </w:t>
      </w:r>
      <w:r>
        <w:t xml:space="preserve">(the inflammatory subtype), Mediterranean-diet adjunct, probiotics (third-line adjunct).</w:t>
      </w:r>
      <w:r>
        <w:t xml:space="preserve"> </w:t>
      </w:r>
      <w:r>
        <w:rPr>
          <w:b/>
        </w:rPr>
        <w:t xml:space="preserve">Hype / unsupported:</w:t>
      </w:r>
      <w:r>
        <w:t xml:space="preserve"> </w:t>
      </w:r>
      <w:r>
        <w:t xml:space="preserve">generic</w:t>
      </w:r>
      <w:r>
        <w:t xml:space="preserve"> </w:t>
      </w:r>
      <w:r>
        <w:t xml:space="preserve">“</w:t>
      </w:r>
      <w:r>
        <w:t xml:space="preserve">detox</w:t>
      </w:r>
      <w:r>
        <w:t xml:space="preserve">”</w:t>
      </w:r>
      <w:r>
        <w:t xml:space="preserve"> </w:t>
      </w:r>
      <w:r>
        <w:t xml:space="preserve">for depression, chelation in non-poisoned people, MDMA-for-depression (MDMA-for-PTSD was FDA-rejected in 2024), supplement megadosing.</w:t>
      </w:r>
    </w:p>
    <w:p>
      <w:pPr>
        <w:pStyle w:val="BodyText"/>
      </w:pPr>
      <w:r>
        <w:t xml:space="preserve">The most original contribution of this project is the</w:t>
      </w:r>
      <w:r>
        <w:t xml:space="preserve"> </w:t>
      </w:r>
      <w:r>
        <w:rPr>
          <w:b/>
        </w:rPr>
        <w:t xml:space="preserve">synthesis itself</w:t>
      </w:r>
      <w:r>
        <w:t xml:space="preserve">: showing which interventions touch the most pathways at once. For most people the</w:t>
      </w:r>
      <w:r>
        <w:t xml:space="preserve"> </w:t>
      </w:r>
      <w:r>
        <w:rPr>
          <w:b/>
        </w:rPr>
        <w:t xml:space="preserve">highest-leverage bundle</w:t>
      </w:r>
      <w:r>
        <w:t xml:space="preserve"> </w:t>
      </w:r>
      <w:r>
        <w:t xml:space="preserve">is: don’t smoke; move daily; protect sleep; eat a whole-food, fibre-rich diet; build and defend social connection; treat trauma and chronic stress — with targeted toxicant reduction and inflammation-guided treatment as secondary, precision layers.</w:t>
      </w:r>
    </w:p>
    <w:p>
      <w:pPr>
        <w:pStyle w:val="Heading1"/>
      </w:pPr>
      <w:bookmarkStart w:id="34" w:name="cleansing-the-body-answered-honestly"/>
      <w:r>
        <w:t xml:space="preserve">9.</w:t>
      </w:r>
      <w:r>
        <w:t xml:space="preserve"> </w:t>
      </w:r>
      <w:r>
        <w:t xml:space="preserve">“</w:t>
      </w:r>
      <w:r>
        <w:t xml:space="preserve">Cleansing the body</w:t>
      </w:r>
      <w:r>
        <w:t xml:space="preserve">”</w:t>
      </w:r>
      <w:r>
        <w:t xml:space="preserve"> </w:t>
      </w:r>
      <w:r>
        <w:t xml:space="preserve">— answered honestly</w:t>
      </w:r>
      <w:bookmarkEnd w:id="34"/>
    </w:p>
    <w:p>
      <w:pPr>
        <w:pStyle w:val="FirstParagraph"/>
      </w:pPr>
      <w:r>
        <w:t xml:space="preserve">Reframe</w:t>
      </w:r>
      <w:r>
        <w:t xml:space="preserve"> </w:t>
      </w:r>
      <w:r>
        <w:t xml:space="preserve">“</w:t>
      </w:r>
      <w:r>
        <w:t xml:space="preserve">detox</w:t>
      </w:r>
      <w:r>
        <w:t xml:space="preserve">”</w:t>
      </w:r>
      <w:r>
        <w:t xml:space="preserve"> </w:t>
      </w:r>
      <w:r>
        <w:t xml:space="preserve">into three things that are actually supported.</w:t>
      </w:r>
      <w:r>
        <w:t xml:space="preserve"> </w:t>
      </w:r>
      <w:r>
        <w:rPr>
          <w:b/>
        </w:rPr>
        <w:t xml:space="preserve">(1) Cut exposure at the source</w:t>
      </w:r>
      <w:r>
        <w:t xml:space="preserve"> </w:t>
      </w:r>
      <w:r>
        <w:t xml:space="preserve">— quitting smoking (cadmium + thousands of toxicants), reducing ultra-processed food (plastics, additives, aluminium), filtering water/air, fixing damp.</w:t>
      </w:r>
      <w:r>
        <w:t xml:space="preserve"> </w:t>
      </w:r>
      <w:r>
        <w:rPr>
          <w:b/>
        </w:rPr>
        <w:t xml:space="preserve">(2) Evidence-based body-burden reduction for</w:t>
      </w:r>
      <w:r>
        <w:rPr>
          <w:b/>
        </w:rPr>
        <w:t xml:space="preserve"> </w:t>
      </w:r>
      <w:r>
        <w:rPr>
          <w:i/>
          <w:b/>
        </w:rPr>
        <w:t xml:space="preserve">specific</w:t>
      </w:r>
      <w:r>
        <w:rPr>
          <w:b/>
        </w:rPr>
        <w:t xml:space="preserve"> </w:t>
      </w:r>
      <w:r>
        <w:rPr>
          <w:b/>
        </w:rPr>
        <w:t xml:space="preserve">toxicants</w:t>
      </w:r>
      <w:r>
        <w:t xml:space="preserve"> </w:t>
      </w:r>
      <w:r>
        <w:t xml:space="preserve">— PFAS via fibre, blood/plasma donation, or clinical anion-exchange resin (a controlled crossover trial cut serum PFOS ~38%); supervised chelation</w:t>
      </w:r>
      <w:r>
        <w:t xml:space="preserve"> </w:t>
      </w:r>
      <w:r>
        <w:rPr>
          <w:b/>
        </w:rPr>
        <w:t xml:space="preserve">only</w:t>
      </w:r>
      <w:r>
        <w:t xml:space="preserve"> </w:t>
      </w:r>
      <w:r>
        <w:t xml:space="preserve">for genuine heavy-metal poisoning.</w:t>
      </w:r>
      <w:r>
        <w:t xml:space="preserve"> </w:t>
      </w:r>
      <w:r>
        <w:rPr>
          <w:b/>
        </w:rPr>
        <w:t xml:space="preserve">(3) Damp the downstream funnel</w:t>
      </w:r>
      <w:r>
        <w:t xml:space="preserve"> </w:t>
      </w:r>
      <w:r>
        <w:t xml:space="preserve">— sleep, fibre/plant diversity, exercise, and an anti-inflammatory diet target the inflammation/oxidation pathway where exposures actually do harm. What does</w:t>
      </w:r>
      <w:r>
        <w:t xml:space="preserve"> </w:t>
      </w:r>
      <w:r>
        <w:rPr>
          <w:b/>
        </w:rPr>
        <w:t xml:space="preserve">not</w:t>
      </w:r>
      <w:r>
        <w:t xml:space="preserve"> </w:t>
      </w:r>
      <w:r>
        <w:t xml:space="preserve">work: juice cleanses, charcoal, foot pads, or DIY chelation for</w:t>
      </w:r>
      <w:r>
        <w:t xml:space="preserve"> </w:t>
      </w:r>
      <w:r>
        <w:t xml:space="preserve">“</w:t>
      </w:r>
      <w:r>
        <w:t xml:space="preserve">wellness.</w:t>
      </w:r>
      <w:r>
        <w:t xml:space="preserve">”</w:t>
      </w:r>
    </w:p>
    <w:p>
      <w:pPr>
        <w:pStyle w:val="Heading1"/>
      </w:pPr>
      <w:bookmarkStart w:id="35" w:name="Xce0773921cc47c278b21c800fe92c516e795246"/>
      <w:r>
        <w:t xml:space="preserve">10. Reproducible-research methodology &amp; the AI discovery engine</w:t>
      </w:r>
      <w:bookmarkEnd w:id="35"/>
    </w:p>
    <w:p>
      <w:pPr>
        <w:pStyle w:val="FirstParagraph"/>
      </w:pPr>
      <w:r>
        <w:t xml:space="preserve">This synthesis was produced by six parallel literature reviews and consolidated into a graded matrix. The forward research program is built to move claims</w:t>
      </w:r>
      <w:r>
        <w:t xml:space="preserve"> </w:t>
      </w:r>
      <w:r>
        <w:rPr>
          <w:b/>
        </w:rPr>
        <w:t xml:space="preserve">up the evidence ladder</w:t>
      </w:r>
      <w:r>
        <w:t xml:space="preserve">: cross-sectional screen → prospective cohort → causal triangulation (Mendelian randomization, natural experiments) → randomized trials.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connections no one has made</w:t>
      </w:r>
      <w:r>
        <w:t xml:space="preserve">”</w:t>
      </w:r>
      <w:r>
        <w:t xml:space="preserve"> </w:t>
      </w:r>
      <w:r>
        <w:t xml:space="preserve">goal is realised through</w:t>
      </w:r>
      <w:r>
        <w:t xml:space="preserve"> </w:t>
      </w:r>
      <w:r>
        <w:rPr>
          <w:b/>
        </w:rPr>
        <w:t xml:space="preserve">exposome-wide association studies (ExWAS)</w:t>
      </w:r>
      <w:r>
        <w:t xml:space="preserve"> </w:t>
      </w:r>
      <w:r>
        <w:t xml:space="preserve">scaled with machine learning across pooled global cohorts (NHANES, UK Biobank, All of Us, ABCD, FinnTwin and others). The method screens thousands of exposures with correction for multiple testing, mines</w:t>
      </w:r>
      <w:r>
        <w:t xml:space="preserve"> </w:t>
      </w:r>
      <w:r>
        <w:rPr>
          <w:b/>
        </w:rPr>
        <w:t xml:space="preserve">interactions and non-linearities</w:t>
      </w:r>
      <w:r>
        <w:t xml:space="preserve"> </w:t>
      </w:r>
      <w:r>
        <w:t xml:space="preserve">(gradient boosting, causal forests, with SHAP interpretation), layers in</w:t>
      </w:r>
      <w:r>
        <w:t xml:space="preserve"> </w:t>
      </w:r>
      <w:r>
        <w:rPr>
          <w:b/>
        </w:rPr>
        <w:t xml:space="preserve">multi-omics</w:t>
      </w:r>
      <w:r>
        <w:t xml:space="preserve"> </w:t>
      </w:r>
      <w:r>
        <w:t xml:space="preserve">(inflammation, microbiome, metabolomics) to test the convergence funnel, and — critically — treats every AI-surfaced pattern as a</w:t>
      </w:r>
      <w:r>
        <w:t xml:space="preserve"> </w:t>
      </w:r>
      <w:r>
        <w:rPr>
          <w:b/>
        </w:rPr>
        <w:t xml:space="preserve">hypothesis</w:t>
      </w:r>
      <w:r>
        <w:t xml:space="preserve"> </w:t>
      </w:r>
      <w:r>
        <w:t xml:space="preserve">that must</w:t>
      </w:r>
      <w:r>
        <w:t xml:space="preserve"> </w:t>
      </w:r>
      <w:r>
        <w:rPr>
          <w:b/>
        </w:rPr>
        <w:t xml:space="preserve">replicate</w:t>
      </w:r>
      <w:r>
        <w:t xml:space="preserve"> </w:t>
      </w:r>
      <w:r>
        <w:t xml:space="preserve">in an independent cohort and survive a causal test. Pre-registration, held-out replication, and publication of null results are non-negotiable guardrails; without them, broad data-mining manufactures false positives.</w:t>
      </w:r>
    </w:p>
    <w:p>
      <w:pPr>
        <w:pStyle w:val="BodyText"/>
      </w:pPr>
      <w:r>
        <w:t xml:space="preserve">All data, source lists, and the scripts that build them are published for reproduction (see the project’s</w:t>
      </w:r>
      <w:r>
        <w:t xml:space="preserve"> </w:t>
      </w:r>
      <w:r>
        <w:rPr>
          <w:rStyle w:val="VerbatimChar"/>
        </w:rPr>
        <w:t xml:space="preserve">data/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21_source/</w:t>
      </w:r>
      <w:r>
        <w:t xml:space="preserve"> </w:t>
      </w:r>
      <w:r>
        <w:t xml:space="preserve">folders, and the website’s Methodology and Data pages).</w:t>
      </w:r>
    </w:p>
    <w:p>
      <w:pPr>
        <w:pStyle w:val="Heading1"/>
      </w:pPr>
      <w:bookmarkStart w:id="36" w:name="limitations"/>
      <w:r>
        <w:t xml:space="preserve">11. Limitations</w:t>
      </w:r>
      <w:bookmarkEnd w:id="36"/>
    </w:p>
    <w:p>
      <w:pPr>
        <w:pStyle w:val="FirstParagraph"/>
      </w:pPr>
      <w:r>
        <w:t xml:space="preserve">Confounding is severe (poverty, stress, sleep, smoking and diet cluster together); causation is genuinely hard to establish; reverse causation is everywhere (depression changes diet, sleep, smoking, even blood–brain-barrier permeability); measurement for the newest angles (microplastics especially) is immature; and many promising associations will not survive causal testing. This document is a</w:t>
      </w:r>
      <w:r>
        <w:t xml:space="preserve"> </w:t>
      </w:r>
      <w:r>
        <w:rPr>
          <w:b/>
        </w:rPr>
        <w:t xml:space="preserve">map and a research plan</w:t>
      </w:r>
      <w:r>
        <w:t xml:space="preserve">, not medical advice.</w:t>
      </w:r>
    </w:p>
    <w:p>
      <w:pPr>
        <w:pStyle w:val="Heading1"/>
      </w:pPr>
      <w:bookmarkStart w:id="37" w:name="sources"/>
      <w:r>
        <w:t xml:space="preserve">12. Sources</w:t>
      </w:r>
      <w:bookmarkEnd w:id="37"/>
    </w:p>
    <w:p>
      <w:pPr>
        <w:pStyle w:val="FirstParagraph"/>
      </w:pPr>
      <w:r>
        <w:t xml:space="preserve">A curated, grouped source register (52 references) is published as</w:t>
      </w:r>
      <w:r>
        <w:t xml:space="preserve"> </w:t>
      </w:r>
      <w:r>
        <w:rPr>
          <w:rStyle w:val="VerbatimChar"/>
        </w:rPr>
        <w:t xml:space="preserve">data/master_sources.csv</w:t>
      </w:r>
      <w:r>
        <w:t xml:space="preserve"> </w:t>
      </w:r>
      <w:r>
        <w:t xml:space="preserve">and on the website’s Sources page; a fuller tagged list is in</w:t>
      </w:r>
      <w:r>
        <w:t xml:space="preserve"> </w:t>
      </w:r>
      <w:r>
        <w:rPr>
          <w:rStyle w:val="VerbatimChar"/>
        </w:rPr>
        <w:t xml:space="preserve">21_source/KALLFORTECKNING.md</w:t>
      </w:r>
      <w:r>
        <w:t xml:space="preserve">. The strongest causal evidence cited here comes from Mendelian-randomization studies (smoking, IL-6, loneliness, insomnia, physical activity, metabolic syndrome) and randomized trials/meta-analyses (antidepressants, exercise, FMT, omega-3, diet, PFAS reduction); the large majority of</w:t>
      </w:r>
      <w:r>
        <w:t xml:space="preserve"> </w:t>
      </w:r>
      <w:r>
        <w:rPr>
          <w:i/>
        </w:rPr>
        <w:t xml:space="preserve">exposure</w:t>
      </w:r>
      <w:r>
        <w:t xml:space="preserve"> </w:t>
      </w:r>
      <w:r>
        <w:t xml:space="preserve">findings are observational and are labelled accordingly.</w:t>
      </w:r>
    </w:p>
    <w:p>
      <w:pPr>
        <w:pStyle w:val="BodyText"/>
      </w:pPr>
      <w:r>
        <w:rPr>
          <w:i/>
        </w:rPr>
        <w:t xml:space="preserve">Compiled with AI assistance — Objektiv AI · Claude (Anthropic), 2026-06-13. Machine-generated from open scientific sources. If you are struggling, this is a research document, not a substitute for professional care.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— What Actually Causes It?</dc:title>
  <dc:creator>Objektiv AI · Claude (Anthropic) — machine-generated from open, peer-reviewed sources. Not medical advice.</dc:creator>
  <cp:keywords/>
  <dcterms:created xsi:type="dcterms:W3CDTF">2026-06-13T15:42:31Z</dcterms:created>
  <dcterms:modified xsi:type="dcterms:W3CDTF">2026-06-13T15:42:31Z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2026-06-13</vt:lpwstr>
  </property>
  <property fmtid="{D5CDD505-2E9C-101B-9397-08002B2CF9AE}" pid="3" name="subtitle">
    <vt:lpwstr>A Comprehensive Evidence Synthesis (Foundation v2.0)</vt:lpwstr>
  </property>
</Properties>
</file>